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B1" w:rsidRDefault="006D0EB1" w:rsidP="007C16E3">
      <w:pPr>
        <w:keepNext/>
        <w:suppressAutoHyphens/>
        <w:spacing w:before="240" w:after="60"/>
        <w:jc w:val="center"/>
        <w:outlineLvl w:val="1"/>
        <w:rPr>
          <w:rFonts w:ascii="Times New Roman" w:hAnsi="Times New Roman"/>
          <w:b/>
          <w:sz w:val="32"/>
          <w:szCs w:val="24"/>
        </w:rPr>
      </w:pPr>
      <w:r w:rsidRPr="006D0EB1">
        <w:rPr>
          <w:rFonts w:ascii="Times New Roman" w:hAnsi="Times New Roman"/>
          <w:b/>
          <w:sz w:val="32"/>
          <w:szCs w:val="24"/>
        </w:rPr>
        <w:t xml:space="preserve">IZVJEŠĆE </w:t>
      </w:r>
    </w:p>
    <w:p w:rsidR="00D91ED5" w:rsidRPr="00D91ED5" w:rsidRDefault="006D0EB1" w:rsidP="007C16E3">
      <w:pPr>
        <w:keepNext/>
        <w:suppressAutoHyphens/>
        <w:spacing w:before="240" w:after="60"/>
        <w:jc w:val="center"/>
        <w:outlineLvl w:val="1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O DO SADA PODUZET</w:t>
      </w:r>
      <w:r w:rsidRPr="006D0EB1">
        <w:rPr>
          <w:rFonts w:ascii="Times New Roman" w:hAnsi="Times New Roman"/>
          <w:b/>
          <w:sz w:val="32"/>
          <w:szCs w:val="24"/>
        </w:rPr>
        <w:t>IM MJERAMA ZA OČUVANJE RADN</w:t>
      </w:r>
      <w:r w:rsidR="005E4FF5">
        <w:rPr>
          <w:rFonts w:ascii="Times New Roman" w:hAnsi="Times New Roman"/>
          <w:b/>
          <w:sz w:val="32"/>
          <w:szCs w:val="24"/>
        </w:rPr>
        <w:t>IH</w:t>
      </w:r>
      <w:r w:rsidRPr="006D0EB1">
        <w:rPr>
          <w:rFonts w:ascii="Times New Roman" w:hAnsi="Times New Roman"/>
          <w:b/>
          <w:sz w:val="32"/>
          <w:szCs w:val="24"/>
        </w:rPr>
        <w:t xml:space="preserve"> MJESTA TE PLANIRANIM MJERAMA ZA IDUĆE RAZDOBLJE</w:t>
      </w:r>
    </w:p>
    <w:p w:rsidR="006D0EB1" w:rsidRDefault="006D0EB1" w:rsidP="007D7661">
      <w:pPr>
        <w:pStyle w:val="Heading2"/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D0EB1" w:rsidRDefault="006D0EB1" w:rsidP="007D7661">
      <w:pPr>
        <w:pStyle w:val="Heading2"/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A434D" w:rsidRDefault="00FA434D" w:rsidP="007D7661">
      <w:pPr>
        <w:pStyle w:val="Heading2"/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Provedba mjere:</w:t>
      </w:r>
    </w:p>
    <w:p w:rsidR="00CB4CB0" w:rsidRPr="002B4EE5" w:rsidRDefault="007D7661" w:rsidP="007D7661">
      <w:pPr>
        <w:pStyle w:val="Heading2"/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4EE5">
        <w:rPr>
          <w:rFonts w:ascii="Times New Roman" w:hAnsi="Times New Roman" w:cs="Times New Roman"/>
          <w:b/>
          <w:color w:val="auto"/>
          <w:sz w:val="24"/>
          <w:szCs w:val="24"/>
        </w:rPr>
        <w:t>Potpora</w:t>
      </w:r>
      <w:r w:rsidR="00CB4CB0" w:rsidRPr="002B4E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 očuvanje radnih mjesta</w:t>
      </w:r>
      <w:r w:rsidRPr="002B4E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u djelatnostima pogođenim Koronavirusom ( COVID- 19)</w:t>
      </w:r>
    </w:p>
    <w:p w:rsidR="00FD40E7" w:rsidRPr="002B4EE5" w:rsidRDefault="00583F4C" w:rsidP="007D7661">
      <w:pPr>
        <w:spacing w:before="120" w:after="120" w:line="276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2B4EE5">
        <w:rPr>
          <w:rFonts w:ascii="Times New Roman" w:eastAsia="Calibri" w:hAnsi="Times New Roman"/>
          <w:sz w:val="24"/>
          <w:szCs w:val="24"/>
        </w:rPr>
        <w:t>Vlada RH</w:t>
      </w:r>
      <w:r w:rsidR="001E7E2B" w:rsidRPr="002B4EE5">
        <w:rPr>
          <w:rFonts w:ascii="Times New Roman" w:eastAsia="Calibri" w:hAnsi="Times New Roman"/>
          <w:sz w:val="24"/>
          <w:szCs w:val="24"/>
        </w:rPr>
        <w:t xml:space="preserve"> pravovremeno je uspostavila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 mehanizme kako bi se očuvala radna mjesta i spriječil</w:t>
      </w:r>
      <w:r w:rsidR="001E7E2B" w:rsidRPr="002B4EE5">
        <w:rPr>
          <w:rFonts w:ascii="Times New Roman" w:eastAsia="Calibri" w:hAnsi="Times New Roman"/>
          <w:sz w:val="24"/>
          <w:szCs w:val="24"/>
        </w:rPr>
        <w:t>a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 otpuštanje radnika - </w:t>
      </w:r>
      <w:r w:rsidR="00FD40E7" w:rsidRPr="002B4EE5">
        <w:rPr>
          <w:rFonts w:ascii="Times New Roman" w:eastAsia="Calibri" w:hAnsi="Times New Roman"/>
          <w:i/>
          <w:sz w:val="24"/>
          <w:szCs w:val="24"/>
        </w:rPr>
        <w:t>Potpore za očuvanje radnih mjesta u djelatnostima pogođenim Koronavirusom (COVID-19)</w:t>
      </w:r>
    </w:p>
    <w:p w:rsidR="00FD40E7" w:rsidRPr="002B4EE5" w:rsidRDefault="00651C8F" w:rsidP="007D7661">
      <w:pPr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Pot</w:t>
      </w:r>
      <w:r w:rsidR="006D0EB1">
        <w:rPr>
          <w:rFonts w:ascii="Times New Roman" w:eastAsia="Calibri" w:hAnsi="Times New Roman"/>
          <w:sz w:val="24"/>
          <w:szCs w:val="24"/>
        </w:rPr>
        <w:t>pora je donesena 20. ožujka 2020. dok</w:t>
      </w:r>
      <w:r>
        <w:rPr>
          <w:rFonts w:ascii="Times New Roman" w:eastAsia="Calibri" w:hAnsi="Times New Roman"/>
          <w:sz w:val="24"/>
          <w:szCs w:val="24"/>
        </w:rPr>
        <w:t xml:space="preserve"> je p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rovedba potpore započela 23. ožujka 2020., te je obuhvatila </w:t>
      </w:r>
      <w:r w:rsidR="002401DC" w:rsidRPr="002B4EE5">
        <w:rPr>
          <w:rFonts w:ascii="Times New Roman" w:eastAsia="Calibri" w:hAnsi="Times New Roman"/>
          <w:sz w:val="24"/>
          <w:szCs w:val="24"/>
        </w:rPr>
        <w:t>razdoblje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 od ožujka do svibnja 2020. godine. Prihvatljivi su bili svi poduzetnici </w:t>
      </w:r>
      <w:r w:rsidR="006D0EB1">
        <w:rPr>
          <w:rFonts w:ascii="Times New Roman" w:eastAsia="Calibri" w:hAnsi="Times New Roman"/>
          <w:sz w:val="24"/>
          <w:szCs w:val="24"/>
        </w:rPr>
        <w:t>koji su bili zatvoreni odlukom S</w:t>
      </w:r>
      <w:r w:rsidR="00FD40E7" w:rsidRPr="002B4EE5">
        <w:rPr>
          <w:rFonts w:ascii="Times New Roman" w:eastAsia="Calibri" w:hAnsi="Times New Roman"/>
          <w:sz w:val="24"/>
          <w:szCs w:val="24"/>
        </w:rPr>
        <w:t>tožera</w:t>
      </w:r>
      <w:r w:rsidR="006D0EB1">
        <w:rPr>
          <w:rFonts w:ascii="Times New Roman" w:eastAsia="Calibri" w:hAnsi="Times New Roman"/>
          <w:sz w:val="24"/>
          <w:szCs w:val="24"/>
        </w:rPr>
        <w:t xml:space="preserve"> civilne zaštite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 </w:t>
      </w:r>
      <w:r w:rsidR="006D0EB1">
        <w:rPr>
          <w:rFonts w:ascii="Times New Roman" w:eastAsia="Calibri" w:hAnsi="Times New Roman"/>
          <w:sz w:val="24"/>
          <w:szCs w:val="24"/>
        </w:rPr>
        <w:t xml:space="preserve">Republike Hrvatske 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te </w:t>
      </w:r>
      <w:r w:rsidR="002401DC" w:rsidRPr="002B4EE5">
        <w:rPr>
          <w:rFonts w:ascii="Times New Roman" w:eastAsia="Calibri" w:hAnsi="Times New Roman"/>
          <w:sz w:val="24"/>
          <w:szCs w:val="24"/>
        </w:rPr>
        <w:t>oni koji su imali pad od minimalno 20% u odnosu</w:t>
      </w:r>
      <w:r w:rsidR="00FD40E7" w:rsidRPr="002B4EE5">
        <w:rPr>
          <w:rFonts w:ascii="Times New Roman" w:eastAsia="Calibri" w:hAnsi="Times New Roman"/>
          <w:sz w:val="24"/>
          <w:szCs w:val="24"/>
        </w:rPr>
        <w:t xml:space="preserve"> na isto razdoblje prošle godine ili su imali problema u isporuci gotovih proizvoda, nabavci sirovina te otkazu ugovora.</w:t>
      </w:r>
    </w:p>
    <w:p w:rsidR="00797DE5" w:rsidRPr="002B4EE5" w:rsidRDefault="00FD40E7" w:rsidP="007D7661">
      <w:pPr>
        <w:shd w:val="clear" w:color="auto" w:fill="FFFFFF" w:themeFill="background1"/>
        <w:spacing w:before="120" w:after="120"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B4EE5">
        <w:rPr>
          <w:rFonts w:ascii="Times New Roman" w:eastAsia="Calibri" w:hAnsi="Times New Roman"/>
          <w:b/>
          <w:sz w:val="24"/>
          <w:szCs w:val="24"/>
        </w:rPr>
        <w:t xml:space="preserve">Potporom </w:t>
      </w:r>
      <w:r w:rsidRPr="002B4EE5">
        <w:rPr>
          <w:rFonts w:ascii="Times New Roman" w:eastAsia="Calibri" w:hAnsi="Times New Roman"/>
          <w:bCs/>
          <w:sz w:val="24"/>
          <w:szCs w:val="24"/>
        </w:rPr>
        <w:t xml:space="preserve">se </w:t>
      </w:r>
      <w:r w:rsidRPr="002B4EE5">
        <w:rPr>
          <w:rFonts w:ascii="Times New Roman" w:eastAsia="Calibri" w:hAnsi="Times New Roman"/>
          <w:b/>
          <w:sz w:val="24"/>
          <w:szCs w:val="24"/>
        </w:rPr>
        <w:t>poslodavcima</w:t>
      </w:r>
      <w:r w:rsidRPr="002B4EE5">
        <w:rPr>
          <w:rFonts w:ascii="Times New Roman" w:eastAsia="Calibri" w:hAnsi="Times New Roman"/>
          <w:bCs/>
          <w:sz w:val="24"/>
          <w:szCs w:val="24"/>
        </w:rPr>
        <w:t xml:space="preserve"> omogućava korištenje sufinanciranje plaća radnika, a koja za mjesece travanj i svibanj 2020. iznosi </w:t>
      </w:r>
      <w:r w:rsidRPr="002B4EE5">
        <w:rPr>
          <w:rFonts w:ascii="Times New Roman" w:eastAsia="Calibri" w:hAnsi="Times New Roman"/>
          <w:b/>
          <w:sz w:val="24"/>
          <w:szCs w:val="24"/>
        </w:rPr>
        <w:t>4.000 kuna</w:t>
      </w:r>
      <w:r w:rsidRPr="002B4EE5">
        <w:rPr>
          <w:rFonts w:ascii="Times New Roman" w:eastAsia="Calibri" w:hAnsi="Times New Roman"/>
          <w:bCs/>
          <w:sz w:val="24"/>
          <w:szCs w:val="24"/>
        </w:rPr>
        <w:t xml:space="preserve"> (za ožujak </w:t>
      </w:r>
      <w:r w:rsidRPr="002B4EE5">
        <w:rPr>
          <w:rFonts w:ascii="Times New Roman" w:eastAsia="Calibri" w:hAnsi="Times New Roman"/>
          <w:b/>
          <w:sz w:val="24"/>
          <w:szCs w:val="24"/>
        </w:rPr>
        <w:t>3.250 kuna</w:t>
      </w:r>
      <w:r w:rsidR="00A14FB6" w:rsidRPr="002B4EE5">
        <w:rPr>
          <w:rFonts w:ascii="Times New Roman" w:eastAsia="Calibri" w:hAnsi="Times New Roman"/>
          <w:bCs/>
          <w:sz w:val="24"/>
          <w:szCs w:val="24"/>
        </w:rPr>
        <w:t xml:space="preserve">), </w:t>
      </w:r>
      <w:r w:rsidRPr="002B4EE5">
        <w:rPr>
          <w:rFonts w:ascii="Times New Roman" w:eastAsia="Calibri" w:hAnsi="Times New Roman"/>
          <w:bCs/>
          <w:sz w:val="24"/>
          <w:szCs w:val="24"/>
        </w:rPr>
        <w:t>a uz to su poslodavci oslobođeni plaćanja doprinosa na ove iznose</w:t>
      </w:r>
    </w:p>
    <w:p w:rsidR="009E730C" w:rsidRPr="002B4EE5" w:rsidRDefault="00FD40E7" w:rsidP="007D7661">
      <w:pPr>
        <w:spacing w:before="120" w:after="12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B4EE5">
        <w:rPr>
          <w:rFonts w:ascii="Times New Roman" w:eastAsia="Calibri" w:hAnsi="Times New Roman"/>
          <w:b/>
          <w:sz w:val="24"/>
          <w:szCs w:val="24"/>
        </w:rPr>
        <w:t>Omogućen je nastavak korištenja Potpore i za lipanj 2020. godine</w:t>
      </w:r>
      <w:r w:rsidRPr="002B4EE5">
        <w:rPr>
          <w:rFonts w:ascii="Times New Roman" w:eastAsia="Calibri" w:hAnsi="Times New Roman"/>
          <w:sz w:val="24"/>
          <w:szCs w:val="24"/>
        </w:rPr>
        <w:t xml:space="preserve"> pod posebnim uvjetima koji su sada prilagođeni reaktivaciji gospodarstva.</w:t>
      </w:r>
      <w:r w:rsidR="00F33EBD" w:rsidRPr="002B4EE5">
        <w:rPr>
          <w:rFonts w:ascii="Times New Roman" w:eastAsia="Calibri" w:hAnsi="Times New Roman"/>
          <w:sz w:val="24"/>
          <w:szCs w:val="24"/>
        </w:rPr>
        <w:t xml:space="preserve"> </w:t>
      </w:r>
      <w:r w:rsidR="00030C4D" w:rsidRPr="002B4EE5">
        <w:rPr>
          <w:rFonts w:ascii="Times New Roman" w:eastAsia="Calibri" w:hAnsi="Times New Roman"/>
          <w:sz w:val="24"/>
          <w:szCs w:val="24"/>
        </w:rPr>
        <w:t>P</w:t>
      </w:r>
      <w:r w:rsidRPr="002B4EE5">
        <w:rPr>
          <w:rFonts w:ascii="Times New Roman" w:eastAsia="Calibri" w:hAnsi="Times New Roman"/>
          <w:sz w:val="24"/>
          <w:szCs w:val="24"/>
        </w:rPr>
        <w:t xml:space="preserve">otpora je usmjerena prema sektorima u kojima poslovanje iz objektivnih razloga ne može biti otvoreno ili </w:t>
      </w:r>
      <w:r w:rsidRPr="002B4EE5">
        <w:rPr>
          <w:rFonts w:ascii="Times New Roman" w:eastAsia="Calibri" w:hAnsi="Times New Roman"/>
          <w:b/>
          <w:sz w:val="24"/>
          <w:szCs w:val="24"/>
        </w:rPr>
        <w:t>imaju pad prihoda za</w:t>
      </w:r>
      <w:r w:rsidRPr="002B4EE5">
        <w:rPr>
          <w:rFonts w:ascii="Times New Roman" w:eastAsia="Calibri" w:hAnsi="Times New Roman"/>
          <w:sz w:val="24"/>
          <w:szCs w:val="24"/>
        </w:rPr>
        <w:t xml:space="preserve"> </w:t>
      </w:r>
      <w:r w:rsidRPr="002B4EE5">
        <w:rPr>
          <w:rFonts w:ascii="Times New Roman" w:eastAsia="Calibri" w:hAnsi="Times New Roman"/>
          <w:b/>
          <w:sz w:val="24"/>
          <w:szCs w:val="24"/>
        </w:rPr>
        <w:t>najmanje 50%</w:t>
      </w:r>
      <w:r w:rsidRPr="002B4EE5">
        <w:rPr>
          <w:rFonts w:ascii="Times New Roman" w:eastAsia="Calibri" w:hAnsi="Times New Roman"/>
          <w:sz w:val="24"/>
          <w:szCs w:val="24"/>
        </w:rPr>
        <w:t xml:space="preserve"> (poljoprivreda, prijevoz putnika, djelatnost pružanja smještaja te pripreme i usluživanja hrane i pića, te djelatnosti vezane uz rekreaciju i kulturne, poslovne i sportske događaje i dr.)</w:t>
      </w:r>
      <w:r w:rsidR="00F33EBD" w:rsidRPr="002B4EE5">
        <w:rPr>
          <w:rFonts w:ascii="Times New Roman" w:eastAsia="Calibri" w:hAnsi="Times New Roman"/>
          <w:sz w:val="24"/>
          <w:szCs w:val="24"/>
        </w:rPr>
        <w:t xml:space="preserve"> te</w:t>
      </w:r>
      <w:r w:rsidR="009E730C" w:rsidRPr="002B4EE5">
        <w:rPr>
          <w:rFonts w:ascii="Times New Roman" w:eastAsia="Calibri" w:hAnsi="Times New Roman"/>
          <w:sz w:val="24"/>
          <w:szCs w:val="24"/>
        </w:rPr>
        <w:t xml:space="preserve"> proizvodnja i prodaja suvenira i sličnih proizvoda, dakle radi se o sektorima usko povezanim sa turizmom.</w:t>
      </w:r>
    </w:p>
    <w:p w:rsidR="00264086" w:rsidRPr="002B4EE5" w:rsidRDefault="00264086" w:rsidP="00264086">
      <w:pPr>
        <w:spacing w:before="120" w:after="12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2B4EE5" w:rsidRDefault="002B4EE5" w:rsidP="000C1183">
      <w:pPr>
        <w:pStyle w:val="Heading2"/>
        <w:pBdr>
          <w:bottom w:val="single" w:sz="4" w:space="1" w:color="auto"/>
        </w:pBdr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7350F" w:rsidRPr="006D0EB1" w:rsidRDefault="000C1183" w:rsidP="000C1183">
      <w:pPr>
        <w:pStyle w:val="Heading2"/>
        <w:pBdr>
          <w:bottom w:val="single" w:sz="4" w:space="1" w:color="auto"/>
        </w:pBdr>
        <w:spacing w:after="120"/>
        <w:rPr>
          <w:rFonts w:ascii="Times New Roman" w:eastAsia="Calibri" w:hAnsi="Times New Roman" w:cs="Times New Roman"/>
          <w:bCs/>
          <w:sz w:val="24"/>
          <w:szCs w:val="24"/>
        </w:rPr>
      </w:pPr>
      <w:r w:rsidRPr="006D0EB1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Rezultati mjera  </w:t>
      </w:r>
    </w:p>
    <w:p w:rsidR="00230F85" w:rsidRPr="006D0EB1" w:rsidRDefault="006D0EB1" w:rsidP="006D0EB1">
      <w:pPr>
        <w:shd w:val="clear" w:color="auto" w:fill="FFFFFF" w:themeFill="background1"/>
        <w:spacing w:before="120" w:after="120" w:line="276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Mjere potpore</w:t>
      </w:r>
      <w:r w:rsidR="00230F85" w:rsidRPr="006D0EB1">
        <w:rPr>
          <w:rFonts w:ascii="Times New Roman" w:eastAsia="Calibri" w:hAnsi="Times New Roman"/>
          <w:sz w:val="24"/>
          <w:szCs w:val="24"/>
        </w:rPr>
        <w:t xml:space="preserve">: </w:t>
      </w:r>
    </w:p>
    <w:p w:rsidR="00230F85" w:rsidRPr="006D0EB1" w:rsidRDefault="00230F85" w:rsidP="006D0EB1">
      <w:pPr>
        <w:pStyle w:val="ListParagraph"/>
        <w:numPr>
          <w:ilvl w:val="1"/>
          <w:numId w:val="35"/>
        </w:numPr>
        <w:shd w:val="clear" w:color="auto" w:fill="FFFFFF" w:themeFill="background1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6D0EB1">
        <w:rPr>
          <w:rFonts w:ascii="Times New Roman" w:eastAsia="Calibri" w:hAnsi="Times New Roman"/>
          <w:sz w:val="24"/>
          <w:szCs w:val="24"/>
        </w:rPr>
        <w:t>u ožujku je primilo oko 85 tisuća poslodavaca za oko 503 tisuće radnika iznos od 1.617.440.962 kn</w:t>
      </w:r>
    </w:p>
    <w:p w:rsidR="00230F85" w:rsidRPr="006D0EB1" w:rsidRDefault="00230F85" w:rsidP="006D0EB1">
      <w:pPr>
        <w:pStyle w:val="ListParagraph"/>
        <w:numPr>
          <w:ilvl w:val="1"/>
          <w:numId w:val="35"/>
        </w:numPr>
        <w:shd w:val="clear" w:color="auto" w:fill="FFFFFF" w:themeFill="background1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6D0EB1">
        <w:rPr>
          <w:rFonts w:ascii="Times New Roman" w:eastAsia="Calibri" w:hAnsi="Times New Roman"/>
          <w:sz w:val="24"/>
          <w:szCs w:val="24"/>
        </w:rPr>
        <w:t>u travnju je primilo oko 99 tisuća poslodavaca za gotovo 569 tisuća radnika iznos od 2.244.833.162kn</w:t>
      </w:r>
    </w:p>
    <w:p w:rsidR="00230F85" w:rsidRPr="006D0EB1" w:rsidRDefault="00230F85" w:rsidP="006D0EB1">
      <w:pPr>
        <w:pStyle w:val="ListParagraph"/>
        <w:numPr>
          <w:ilvl w:val="1"/>
          <w:numId w:val="35"/>
        </w:numPr>
        <w:shd w:val="clear" w:color="auto" w:fill="FFFFFF" w:themeFill="background1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6D0EB1">
        <w:rPr>
          <w:rFonts w:ascii="Times New Roman" w:eastAsia="Calibri" w:hAnsi="Times New Roman"/>
          <w:sz w:val="24"/>
          <w:szCs w:val="24"/>
        </w:rPr>
        <w:t>u svibnju je primilo oko 94 tisuće poslodavaca za gotovo 375 tisuća radnika iznos od 1.458.053.577 kn</w:t>
      </w:r>
    </w:p>
    <w:p w:rsidR="00230F85" w:rsidRPr="006D0EB1" w:rsidRDefault="00230F85" w:rsidP="006D0EB1">
      <w:pPr>
        <w:shd w:val="clear" w:color="auto" w:fill="FFFFFF" w:themeFill="background1"/>
        <w:spacing w:before="120" w:after="120" w:line="276" w:lineRule="auto"/>
        <w:ind w:left="708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6D0EB1">
        <w:rPr>
          <w:rFonts w:ascii="Times New Roman" w:eastAsia="Calibri" w:hAnsi="Times New Roman"/>
          <w:b/>
          <w:sz w:val="24"/>
          <w:szCs w:val="24"/>
          <w:u w:val="single"/>
        </w:rPr>
        <w:t>Ukupno je do sada isplaćeno preko 5,3 milijarde kuna, a uključujući i doprinose taj iznos doseže preko 7,7 milijarde kuna.</w:t>
      </w:r>
    </w:p>
    <w:p w:rsidR="000C1183" w:rsidRDefault="000C1183" w:rsidP="00264086">
      <w:pPr>
        <w:pStyle w:val="ListParagraph"/>
        <w:spacing w:before="120" w:after="120" w:line="276" w:lineRule="auto"/>
        <w:ind w:left="714"/>
        <w:contextualSpacing w:val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F33EBD" w:rsidRDefault="00F33EBD" w:rsidP="00264086">
      <w:pPr>
        <w:pStyle w:val="ListParagraph"/>
        <w:spacing w:before="120" w:after="120" w:line="276" w:lineRule="auto"/>
        <w:ind w:left="714"/>
        <w:contextualSpacing w:val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B4EE5">
        <w:rPr>
          <w:rFonts w:ascii="Times New Roman" w:eastAsia="Calibri" w:hAnsi="Times New Roman"/>
          <w:b/>
          <w:bCs/>
          <w:sz w:val="24"/>
          <w:szCs w:val="24"/>
        </w:rPr>
        <w:t>Po županijama isplate su slijedeće:</w:t>
      </w:r>
    </w:p>
    <w:p w:rsidR="00230F85" w:rsidRPr="002B4EE5" w:rsidRDefault="00230F85" w:rsidP="00264086">
      <w:pPr>
        <w:pStyle w:val="ListParagraph"/>
        <w:spacing w:before="120" w:after="120" w:line="276" w:lineRule="auto"/>
        <w:ind w:left="714"/>
        <w:contextualSpacing w:val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4319"/>
        <w:gridCol w:w="2162"/>
        <w:gridCol w:w="1316"/>
        <w:gridCol w:w="1836"/>
      </w:tblGrid>
      <w:tr w:rsidR="00230F85" w:rsidRPr="00F33EBD" w:rsidTr="008E6F62">
        <w:trPr>
          <w:trHeight w:val="300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30F85" w:rsidRPr="00F33EBD" w:rsidRDefault="00230F85" w:rsidP="008E6F62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ISPLATE MJERE ORM ZA RAZDOBLJE OŽUJAK- SVIBANJ 2020.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b/>
                <w:bCs/>
                <w:color w:val="000000"/>
                <w:lang w:eastAsia="hr-HR"/>
              </w:rPr>
              <w:t>Broj poslodavaca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Broj radnika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b/>
                <w:bCs/>
                <w:color w:val="000000"/>
                <w:lang w:eastAsia="hr-HR"/>
              </w:rPr>
              <w:t>Ukupno isplaćeno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BJELOVARSKO-BILOGORSKA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1.786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11.664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109.031.741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BRODSKO-POSAVSKA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2.320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15.422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131.184.216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DUBROVAČKO-NERETVANSKA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4.205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17.861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165.959.014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GRAD ZAGREB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27.635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185.209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1.562.926.886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ISTARSKA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7.706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39.718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366.206.147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KARLOVAČKA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1.919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11.742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106.969.880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KOPRIVNIČKO-KRIŽEVAČKA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1.568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8.123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76.640.495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KRAPINSKO-ZAGORSKA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2.309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14.471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146.611.264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LIČKO-SENJSKA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842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3.580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35.150.337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MEĐIMURSKA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2.156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16.315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156.749.651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OSJEČKO-BARANJSKA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5.536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30.088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266.487.986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POŽEŠKO-SLAVONSKA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1.288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9.323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77.817.412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PRIMORSKO-GORANSKA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9.439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44.044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381.470.622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2.310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11.049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100.662.571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SPLITSKO-DALMATINSKA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12.192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65.174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537.174.870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ŠIBENSKO-KNINSKA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2.361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10.222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91.887.131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VARAŽDINSKA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3.042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29.007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258.744.320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VIROVITIČKO-PODRAVSKA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1.085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7.084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62.657.765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VUKOVARSKO-SRIJEMSKA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2.358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15.957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135.524.728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ZADARSKA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4.051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18.869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170.434.222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ZAGREBAČKA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6.842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43.571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376.144.389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color w:val="000000"/>
                <w:lang w:eastAsia="hr-HR"/>
              </w:rPr>
              <w:t>nema podataka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938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3.892.057 kn</w:t>
            </w:r>
          </w:p>
        </w:tc>
      </w:tr>
      <w:tr w:rsidR="00230F85" w:rsidRPr="00F33EBD" w:rsidTr="008E6F62">
        <w:trPr>
          <w:trHeight w:val="300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30F85" w:rsidRPr="00F33EBD" w:rsidRDefault="00230F85" w:rsidP="008E6F62">
            <w:pPr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33EBD">
              <w:rPr>
                <w:rFonts w:eastAsia="Times New Roman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103.268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230F85" w:rsidRPr="00223B78" w:rsidRDefault="00230F85" w:rsidP="008E6F62">
            <w:pPr>
              <w:jc w:val="right"/>
            </w:pPr>
            <w:r w:rsidRPr="00223B78">
              <w:t>609.431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230F85" w:rsidRDefault="00230F85" w:rsidP="008E6F62">
            <w:pPr>
              <w:jc w:val="right"/>
            </w:pPr>
            <w:r w:rsidRPr="00223B78">
              <w:t>5.320.327.702 kn</w:t>
            </w:r>
          </w:p>
        </w:tc>
      </w:tr>
    </w:tbl>
    <w:p w:rsidR="00F33EBD" w:rsidRPr="00F33EBD" w:rsidRDefault="00F33EBD" w:rsidP="00F33EBD">
      <w:pPr>
        <w:spacing w:before="120" w:after="120" w:line="276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FD40E7" w:rsidRPr="002B4EE5" w:rsidRDefault="000C1183" w:rsidP="007C16E3">
      <w:pPr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B4EE5">
        <w:rPr>
          <w:rFonts w:ascii="Times New Roman" w:eastAsia="Calibri" w:hAnsi="Times New Roman"/>
          <w:b/>
          <w:bCs/>
          <w:sz w:val="24"/>
          <w:szCs w:val="24"/>
        </w:rPr>
        <w:t>Učinkovitost mjere pokazuje i slijedeće</w:t>
      </w:r>
      <w:r w:rsidR="00FD40E7" w:rsidRPr="002B4EE5">
        <w:rPr>
          <w:rFonts w:ascii="Times New Roman" w:eastAsia="Calibri" w:hAnsi="Times New Roman"/>
          <w:b/>
          <w:bCs/>
          <w:sz w:val="24"/>
          <w:szCs w:val="24"/>
        </w:rPr>
        <w:t>:</w:t>
      </w:r>
    </w:p>
    <w:p w:rsidR="00FD40E7" w:rsidRPr="002B4EE5" w:rsidRDefault="00212D22" w:rsidP="007D7661">
      <w:pPr>
        <w:spacing w:before="120" w:after="12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B4EE5">
        <w:rPr>
          <w:rFonts w:ascii="Times New Roman" w:eastAsia="Calibri" w:hAnsi="Times New Roman"/>
          <w:bCs/>
          <w:sz w:val="24"/>
          <w:szCs w:val="24"/>
        </w:rPr>
        <w:t>P</w:t>
      </w:r>
      <w:r w:rsidR="00FD40E7" w:rsidRPr="002B4EE5">
        <w:rPr>
          <w:rFonts w:ascii="Times New Roman" w:eastAsia="Calibri" w:hAnsi="Times New Roman"/>
          <w:bCs/>
          <w:sz w:val="24"/>
          <w:szCs w:val="24"/>
        </w:rPr>
        <w:t xml:space="preserve">odaci Hrvatskog </w:t>
      </w:r>
      <w:r w:rsidR="00335B14" w:rsidRPr="002B4EE5">
        <w:rPr>
          <w:rFonts w:ascii="Times New Roman" w:eastAsia="Calibri" w:hAnsi="Times New Roman"/>
          <w:bCs/>
          <w:sz w:val="24"/>
          <w:szCs w:val="24"/>
        </w:rPr>
        <w:t xml:space="preserve">zavoda za mirovinsko osiguranje pokazuju kako nakon pada broja osiguranika u ožujku te stagnacije u travnju imamo rast broja osiguranika u svibnju </w:t>
      </w:r>
      <w:r w:rsidR="00F33EBD" w:rsidRPr="002B4EE5">
        <w:rPr>
          <w:rFonts w:ascii="Times New Roman" w:eastAsia="Calibri" w:hAnsi="Times New Roman"/>
          <w:bCs/>
          <w:sz w:val="24"/>
          <w:szCs w:val="24"/>
        </w:rPr>
        <w:t>i lipnju t eje stanje na 24.06 1.542.063 zaposlenih što je skoro isto kao broj zaposlenih 29.02.2020. (1.542.328) što znači da smo se vratili na zaposlenost prije krize uzrokovane COVID 19 virusom</w:t>
      </w:r>
      <w:r w:rsidR="00335B14" w:rsidRPr="002B4EE5">
        <w:rPr>
          <w:rFonts w:ascii="Times New Roman" w:eastAsia="Calibri" w:hAnsi="Times New Roman"/>
          <w:bCs/>
          <w:sz w:val="24"/>
          <w:szCs w:val="24"/>
        </w:rPr>
        <w:t>.</w:t>
      </w:r>
    </w:p>
    <w:p w:rsidR="00062364" w:rsidRPr="002B4EE5" w:rsidRDefault="00F33EBD" w:rsidP="007D7661">
      <w:pPr>
        <w:jc w:val="both"/>
        <w:rPr>
          <w:rFonts w:ascii="Times New Roman" w:hAnsi="Times New Roman"/>
          <w:sz w:val="24"/>
          <w:szCs w:val="24"/>
        </w:rPr>
      </w:pPr>
      <w:r w:rsidRPr="002B4EE5">
        <w:rPr>
          <w:rFonts w:ascii="Times New Roman" w:hAnsi="Times New Roman"/>
          <w:sz w:val="24"/>
          <w:szCs w:val="24"/>
        </w:rPr>
        <w:t xml:space="preserve">Od 16.03.2020. Hrvatski zavod za zapošljavanje prati dnevno stanje vezano uz broj nezaposlenih. Na početku dana 16.03.2020. u evidenciji je bilo 134.717 osoba, na kraju dana </w:t>
      </w:r>
      <w:r w:rsidR="00E60BEF" w:rsidRPr="002B4EE5">
        <w:rPr>
          <w:rFonts w:ascii="Times New Roman" w:hAnsi="Times New Roman"/>
          <w:sz w:val="24"/>
          <w:szCs w:val="24"/>
        </w:rPr>
        <w:t>24</w:t>
      </w:r>
      <w:r w:rsidRPr="002B4EE5">
        <w:rPr>
          <w:rFonts w:ascii="Times New Roman" w:hAnsi="Times New Roman"/>
          <w:sz w:val="24"/>
          <w:szCs w:val="24"/>
        </w:rPr>
        <w:t xml:space="preserve">.06.2020. u evidenciji je bilo 152.179 osoba </w:t>
      </w:r>
      <w:r w:rsidR="00E60BEF" w:rsidRPr="002B4EE5">
        <w:rPr>
          <w:rFonts w:ascii="Times New Roman" w:hAnsi="Times New Roman"/>
          <w:sz w:val="24"/>
          <w:szCs w:val="24"/>
        </w:rPr>
        <w:t>što je u razdoblju od  16.03.-24</w:t>
      </w:r>
      <w:r w:rsidRPr="002B4EE5">
        <w:rPr>
          <w:rFonts w:ascii="Times New Roman" w:hAnsi="Times New Roman"/>
          <w:sz w:val="24"/>
          <w:szCs w:val="24"/>
        </w:rPr>
        <w:t xml:space="preserve">.06.2020. povećanje za 17.462 osobe ili 13,0% što je vrlo mali broj s obzirom </w:t>
      </w:r>
      <w:r w:rsidR="00230F85" w:rsidRPr="00230F85">
        <w:rPr>
          <w:rFonts w:ascii="Times New Roman" w:hAnsi="Times New Roman"/>
          <w:sz w:val="24"/>
          <w:szCs w:val="24"/>
        </w:rPr>
        <w:t>s obzirom na trend porasta nezaposlenosti u okruženju te velikim razmjerima krize na cijelo gospodarstvo</w:t>
      </w:r>
      <w:r w:rsidRPr="002B4EE5">
        <w:rPr>
          <w:rFonts w:ascii="Times New Roman" w:hAnsi="Times New Roman"/>
          <w:sz w:val="24"/>
          <w:szCs w:val="24"/>
        </w:rPr>
        <w:t>.</w:t>
      </w:r>
    </w:p>
    <w:p w:rsidR="00062364" w:rsidRPr="002B4EE5" w:rsidRDefault="005277C6" w:rsidP="007D7661">
      <w:pPr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B4EE5">
        <w:rPr>
          <w:rFonts w:ascii="Times New Roman" w:hAnsi="Times New Roman"/>
          <w:sz w:val="24"/>
          <w:szCs w:val="24"/>
        </w:rPr>
        <w:t>Ujedno na dan 2</w:t>
      </w:r>
      <w:r w:rsidR="00BE7083">
        <w:rPr>
          <w:rFonts w:ascii="Times New Roman" w:hAnsi="Times New Roman"/>
          <w:sz w:val="24"/>
          <w:szCs w:val="24"/>
        </w:rPr>
        <w:t>4</w:t>
      </w:r>
      <w:r w:rsidRPr="002B4EE5">
        <w:rPr>
          <w:rFonts w:ascii="Times New Roman" w:hAnsi="Times New Roman"/>
          <w:sz w:val="24"/>
          <w:szCs w:val="24"/>
        </w:rPr>
        <w:t xml:space="preserve">.06. 2020. ima </w:t>
      </w:r>
      <w:r w:rsidR="006D0EB1">
        <w:rPr>
          <w:rFonts w:ascii="Times New Roman" w:hAnsi="Times New Roman"/>
          <w:sz w:val="24"/>
          <w:szCs w:val="24"/>
        </w:rPr>
        <w:t>9.651</w:t>
      </w:r>
      <w:r w:rsidRPr="002B4EE5">
        <w:rPr>
          <w:rFonts w:ascii="Times New Roman" w:hAnsi="Times New Roman"/>
          <w:sz w:val="24"/>
          <w:szCs w:val="24"/>
        </w:rPr>
        <w:t xml:space="preserve"> objavljenih slobodnih radnih mjesta za koje poslodavci traže radnike</w:t>
      </w:r>
      <w:r w:rsidR="006D0EB1">
        <w:rPr>
          <w:rFonts w:ascii="Times New Roman" w:hAnsi="Times New Roman"/>
          <w:sz w:val="24"/>
          <w:szCs w:val="24"/>
        </w:rPr>
        <w:t>.</w:t>
      </w:r>
    </w:p>
    <w:p w:rsidR="00F33EBD" w:rsidRPr="002B4EE5" w:rsidRDefault="00D13667" w:rsidP="007D7661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B4EE5">
        <w:rPr>
          <w:rFonts w:ascii="Times New Roman" w:hAnsi="Times New Roman"/>
          <w:sz w:val="24"/>
          <w:szCs w:val="24"/>
        </w:rPr>
        <w:t xml:space="preserve">EK je u uvodnim izjavama vezanim za specifične preporuke država članica (CSR) istaknula da je Republika Hrvatska u odgovoru na pandemiju, brzo i pravovremeno poduzela dalekosežne mjere u cilju zaštite svojih građana i obuzdavanja širenja virusa. U cilju sprečavanja negativnih posljedica na gospodarstvo pokrenula </w:t>
      </w:r>
      <w:r w:rsidR="00E02748" w:rsidRPr="002B4EE5">
        <w:rPr>
          <w:rFonts w:ascii="Times New Roman" w:hAnsi="Times New Roman"/>
          <w:sz w:val="24"/>
          <w:szCs w:val="24"/>
        </w:rPr>
        <w:t xml:space="preserve">je </w:t>
      </w:r>
      <w:r w:rsidRPr="002B4EE5">
        <w:rPr>
          <w:rFonts w:ascii="Times New Roman" w:hAnsi="Times New Roman"/>
          <w:sz w:val="24"/>
          <w:szCs w:val="24"/>
        </w:rPr>
        <w:t xml:space="preserve">paket ambicioznih mjera, uključujući potpore za isplatu plaća, izuzeća i odgode plaćanja poreza i doprinosa, podrške malim i srednjim poduzetnicima, dodatna jamstva za osiguranje izvoza, moratorije za plaćanje kredita, te specifične mjere namijenjene turizmu i drugim osobito </w:t>
      </w:r>
      <w:r w:rsidR="006D0EB1">
        <w:rPr>
          <w:rFonts w:ascii="Times New Roman" w:hAnsi="Times New Roman"/>
          <w:sz w:val="24"/>
          <w:szCs w:val="24"/>
        </w:rPr>
        <w:t>pogođenim sektorima.</w:t>
      </w:r>
    </w:p>
    <w:p w:rsidR="007A04C7" w:rsidRDefault="007A04C7" w:rsidP="007A04C7">
      <w:pPr>
        <w:spacing w:before="120" w:after="120" w:line="256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04C7" w:rsidRPr="002B4EE5" w:rsidRDefault="00FA434D" w:rsidP="007D7661">
      <w:pPr>
        <w:spacing w:before="120" w:after="120" w:line="256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D91ED5">
        <w:rPr>
          <w:rFonts w:ascii="Times New Roman" w:hAnsi="Times New Roman"/>
          <w:b/>
          <w:sz w:val="24"/>
          <w:szCs w:val="24"/>
        </w:rPr>
        <w:t>rijedlog novih mjera</w:t>
      </w:r>
      <w:r>
        <w:rPr>
          <w:rFonts w:ascii="Times New Roman" w:hAnsi="Times New Roman"/>
          <w:b/>
          <w:sz w:val="24"/>
          <w:szCs w:val="24"/>
        </w:rPr>
        <w:t xml:space="preserve"> za buduće razdoblje</w:t>
      </w:r>
      <w:r w:rsidR="000B0591">
        <w:rPr>
          <w:rFonts w:ascii="Times New Roman" w:hAnsi="Times New Roman"/>
          <w:b/>
          <w:sz w:val="24"/>
          <w:szCs w:val="24"/>
        </w:rPr>
        <w:t>:</w:t>
      </w:r>
    </w:p>
    <w:p w:rsidR="007A04C7" w:rsidRPr="002B4EE5" w:rsidRDefault="007A04C7" w:rsidP="007A04C7">
      <w:pPr>
        <w:rPr>
          <w:rFonts w:ascii="Times New Roman" w:hAnsi="Times New Roman"/>
          <w:sz w:val="24"/>
          <w:szCs w:val="24"/>
        </w:rPr>
      </w:pPr>
    </w:p>
    <w:p w:rsidR="007A04C7" w:rsidRPr="002B4EE5" w:rsidRDefault="007A04C7" w:rsidP="007A04C7">
      <w:pPr>
        <w:pStyle w:val="Heading2"/>
        <w:pBdr>
          <w:bottom w:val="single" w:sz="4" w:space="1" w:color="auto"/>
        </w:pBdr>
        <w:spacing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 w:rsidRPr="002B4EE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Potpora za očuv</w:t>
      </w:r>
      <w:r w:rsidR="007D7661" w:rsidRPr="002B4EE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 xml:space="preserve">anje radnih mjesta - </w:t>
      </w:r>
      <w:r w:rsidRPr="002B4EE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skraćivanje radnog vremena</w:t>
      </w:r>
    </w:p>
    <w:p w:rsidR="007A04C7" w:rsidRPr="002B4EE5" w:rsidRDefault="007A04C7" w:rsidP="002B4EE5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B4EE5">
        <w:rPr>
          <w:rFonts w:ascii="Times New Roman" w:hAnsi="Times New Roman"/>
          <w:sz w:val="24"/>
          <w:szCs w:val="24"/>
          <w:lang w:eastAsia="hr-HR"/>
        </w:rPr>
        <w:t xml:space="preserve">Zajedno za socijalnim partnerima izrađuju se kriteriji za Potporu 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>očuvanje radnih mjesta-skraćivanje radnog vremena. Trajanje potpore je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 od 1.6.- 31.12. </w:t>
      </w:r>
      <w:r w:rsidR="004D0629" w:rsidRPr="002B4EE5">
        <w:rPr>
          <w:rFonts w:ascii="Times New Roman" w:hAnsi="Times New Roman"/>
          <w:sz w:val="24"/>
          <w:szCs w:val="24"/>
          <w:lang w:eastAsia="hr-HR"/>
        </w:rPr>
        <w:t>2020.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>godine.</w:t>
      </w:r>
    </w:p>
    <w:p w:rsidR="007A04C7" w:rsidRPr="002B4EE5" w:rsidRDefault="007A04C7" w:rsidP="002B4EE5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B4EE5">
        <w:rPr>
          <w:rFonts w:ascii="Times New Roman" w:hAnsi="Times New Roman"/>
          <w:sz w:val="24"/>
          <w:szCs w:val="24"/>
          <w:lang w:eastAsia="hr-HR"/>
        </w:rPr>
        <w:t>Poslodavcima koji će zbog poteškoća u poslovanju i pada poslovnih aktivnosti skratiti radno vrijeme radnika, omogućit će se sufinanciranje razmjernog dijela plaće sukladno skraćenom radnom vremenu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2B4EE5">
        <w:rPr>
          <w:rFonts w:ascii="Times New Roman" w:hAnsi="Times New Roman"/>
          <w:sz w:val="24"/>
          <w:szCs w:val="24"/>
          <w:lang w:eastAsia="hr-HR"/>
        </w:rPr>
        <w:t>Potpora je namijenjena svim sektorima, za tvrtke od 10 i više zaposlenih</w:t>
      </w:r>
      <w:r w:rsidR="006D0EB1">
        <w:rPr>
          <w:rFonts w:ascii="Times New Roman" w:hAnsi="Times New Roman"/>
          <w:sz w:val="24"/>
          <w:szCs w:val="24"/>
          <w:lang w:eastAsia="hr-HR"/>
        </w:rPr>
        <w:t>.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7A04C7" w:rsidRPr="002B4EE5" w:rsidRDefault="007A04C7" w:rsidP="002B4EE5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B4EE5">
        <w:rPr>
          <w:rFonts w:ascii="Times New Roman" w:hAnsi="Times New Roman"/>
          <w:sz w:val="24"/>
          <w:szCs w:val="24"/>
          <w:lang w:eastAsia="hr-HR"/>
        </w:rPr>
        <w:t>Financiranje je predviđeno do kraj</w:t>
      </w:r>
      <w:r w:rsidR="004D0629" w:rsidRPr="002B4EE5">
        <w:rPr>
          <w:rFonts w:ascii="Times New Roman" w:hAnsi="Times New Roman"/>
          <w:sz w:val="24"/>
          <w:szCs w:val="24"/>
          <w:lang w:eastAsia="hr-HR"/>
        </w:rPr>
        <w:t>a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 2020 godine te bi se pokrilo iz sredstava SURE programa u visini 2,2 mrld kuna</w:t>
      </w:r>
      <w:r w:rsidR="006D0EB1">
        <w:rPr>
          <w:rFonts w:ascii="Times New Roman" w:hAnsi="Times New Roman"/>
          <w:sz w:val="24"/>
          <w:szCs w:val="24"/>
          <w:lang w:eastAsia="hr-HR"/>
        </w:rPr>
        <w:t>.</w:t>
      </w:r>
    </w:p>
    <w:p w:rsidR="002B4EE5" w:rsidRPr="002B4EE5" w:rsidRDefault="007A04C7" w:rsidP="002B4EE5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B4EE5">
        <w:rPr>
          <w:rFonts w:ascii="Times New Roman" w:hAnsi="Times New Roman"/>
          <w:sz w:val="24"/>
          <w:szCs w:val="24"/>
          <w:lang w:eastAsia="hr-HR"/>
        </w:rPr>
        <w:t xml:space="preserve">Za mikro poduzetnike (manje od 10 zaposlenih) u srpnju će se donijeti 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 xml:space="preserve">izmijenjena/dopunjena Potpora za očuvanje radnih mjesta - potpora za skraćivanje radnog vremena 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tako da će 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 xml:space="preserve">istu moći koristiti 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 poslodavci iz svih sektora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>.</w:t>
      </w:r>
    </w:p>
    <w:p w:rsidR="007A04C7" w:rsidRPr="002B4EE5" w:rsidRDefault="007A04C7" w:rsidP="002B4EE5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B4EE5">
        <w:rPr>
          <w:rFonts w:ascii="Times New Roman" w:hAnsi="Times New Roman"/>
          <w:sz w:val="24"/>
          <w:szCs w:val="24"/>
          <w:lang w:eastAsia="hr-HR"/>
        </w:rPr>
        <w:t>Ovim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 xml:space="preserve"> mjerama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 Vlada 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>Republike Hrvatske</w:t>
      </w:r>
      <w:r w:rsidRPr="002B4EE5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D0629" w:rsidRPr="002B4EE5">
        <w:rPr>
          <w:rFonts w:ascii="Times New Roman" w:hAnsi="Times New Roman"/>
          <w:sz w:val="24"/>
          <w:szCs w:val="24"/>
          <w:lang w:eastAsia="hr-HR"/>
        </w:rPr>
        <w:t xml:space="preserve">na vrijeme 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 xml:space="preserve">poduzima sve potrebne aktivnosti u cilju zaštite radnika i tržišta rada </w:t>
      </w:r>
      <w:r w:rsidR="004D0629" w:rsidRPr="002B4EE5">
        <w:rPr>
          <w:rFonts w:ascii="Times New Roman" w:hAnsi="Times New Roman"/>
          <w:sz w:val="24"/>
          <w:szCs w:val="24"/>
          <w:lang w:eastAsia="hr-HR"/>
        </w:rPr>
        <w:t xml:space="preserve">te donosi stabilnost za </w:t>
      </w:r>
      <w:r w:rsidR="006D0EB1">
        <w:rPr>
          <w:rFonts w:ascii="Times New Roman" w:hAnsi="Times New Roman"/>
          <w:sz w:val="24"/>
          <w:szCs w:val="24"/>
          <w:lang w:eastAsia="hr-HR"/>
        </w:rPr>
        <w:t>naredni</w:t>
      </w:r>
      <w:r w:rsidR="004D0629" w:rsidRPr="002B4EE5">
        <w:rPr>
          <w:rFonts w:ascii="Times New Roman" w:hAnsi="Times New Roman"/>
          <w:sz w:val="24"/>
          <w:szCs w:val="24"/>
          <w:lang w:eastAsia="hr-HR"/>
        </w:rPr>
        <w:t xml:space="preserve"> period za sve poduzetnike koji su pogođeni problemima na tržištu RH i svijeta uzrokovanih krizom zbog COVID 19 virusa, prvenstveno u svrhu očuvanja radnih mjesta te gospodarske aktivnosti na nivou </w:t>
      </w:r>
      <w:r w:rsidR="002B4EE5" w:rsidRPr="002B4EE5">
        <w:rPr>
          <w:rFonts w:ascii="Times New Roman" w:hAnsi="Times New Roman"/>
          <w:sz w:val="24"/>
          <w:szCs w:val="24"/>
          <w:lang w:eastAsia="hr-HR"/>
        </w:rPr>
        <w:t>Republike Hrvatske</w:t>
      </w:r>
      <w:r w:rsidR="004D0629" w:rsidRPr="002B4EE5">
        <w:rPr>
          <w:rFonts w:ascii="Times New Roman" w:hAnsi="Times New Roman"/>
          <w:sz w:val="24"/>
          <w:szCs w:val="24"/>
          <w:lang w:eastAsia="hr-HR"/>
        </w:rPr>
        <w:t>.</w:t>
      </w:r>
    </w:p>
    <w:p w:rsidR="004D0629" w:rsidRPr="002B4EE5" w:rsidRDefault="004D0629" w:rsidP="004D0629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EB2" w:rsidRDefault="00A20EB2" w:rsidP="00A20E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F33EBD" w:rsidRDefault="007C2450" w:rsidP="00F33EBD">
      <w:r>
        <w:t xml:space="preserve">    </w:t>
      </w:r>
    </w:p>
    <w:sectPr w:rsidR="00F33EBD" w:rsidSect="00F7350F">
      <w:footerReference w:type="default" r:id="rId11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77" w:rsidRDefault="00365E77" w:rsidP="0028176C">
      <w:r>
        <w:separator/>
      </w:r>
    </w:p>
  </w:endnote>
  <w:endnote w:type="continuationSeparator" w:id="0">
    <w:p w:rsidR="00365E77" w:rsidRDefault="00365E77" w:rsidP="002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464560"/>
      <w:docPartObj>
        <w:docPartGallery w:val="Page Numbers (Bottom of Page)"/>
        <w:docPartUnique/>
      </w:docPartObj>
    </w:sdtPr>
    <w:sdtEndPr/>
    <w:sdtContent>
      <w:p w:rsidR="006612A5" w:rsidRDefault="00711410">
        <w:pPr>
          <w:pStyle w:val="Footer"/>
          <w:jc w:val="right"/>
        </w:pPr>
        <w:r>
          <w:fldChar w:fldCharType="begin"/>
        </w:r>
        <w:r w:rsidR="006612A5">
          <w:instrText>PAGE   \* MERGEFORMAT</w:instrText>
        </w:r>
        <w:r>
          <w:fldChar w:fldCharType="separate"/>
        </w:r>
        <w:r w:rsidR="007C2450">
          <w:rPr>
            <w:noProof/>
          </w:rPr>
          <w:t>3</w:t>
        </w:r>
        <w:r>
          <w:fldChar w:fldCharType="end"/>
        </w:r>
      </w:p>
    </w:sdtContent>
  </w:sdt>
  <w:p w:rsidR="0028176C" w:rsidRDefault="0028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77" w:rsidRDefault="00365E77" w:rsidP="0028176C">
      <w:r>
        <w:separator/>
      </w:r>
    </w:p>
  </w:footnote>
  <w:footnote w:type="continuationSeparator" w:id="0">
    <w:p w:rsidR="00365E77" w:rsidRDefault="00365E77" w:rsidP="0028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74E"/>
    <w:multiLevelType w:val="hybridMultilevel"/>
    <w:tmpl w:val="6F7202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5D7C"/>
    <w:multiLevelType w:val="hybridMultilevel"/>
    <w:tmpl w:val="71241230"/>
    <w:lvl w:ilvl="0" w:tplc="DC2C0D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474"/>
    <w:multiLevelType w:val="hybridMultilevel"/>
    <w:tmpl w:val="C96A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6BA"/>
    <w:multiLevelType w:val="hybridMultilevel"/>
    <w:tmpl w:val="42D69758"/>
    <w:lvl w:ilvl="0" w:tplc="0409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12E45BDC"/>
    <w:multiLevelType w:val="hybridMultilevel"/>
    <w:tmpl w:val="7DDC04E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636F"/>
    <w:multiLevelType w:val="hybridMultilevel"/>
    <w:tmpl w:val="C41AA2F0"/>
    <w:lvl w:ilvl="0" w:tplc="DC2C0D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E2AEC"/>
    <w:multiLevelType w:val="hybridMultilevel"/>
    <w:tmpl w:val="B936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C4E88"/>
    <w:multiLevelType w:val="hybridMultilevel"/>
    <w:tmpl w:val="FB1CF5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B057D"/>
    <w:multiLevelType w:val="hybridMultilevel"/>
    <w:tmpl w:val="74289B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48F"/>
    <w:multiLevelType w:val="hybridMultilevel"/>
    <w:tmpl w:val="CE1A59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24B"/>
    <w:multiLevelType w:val="hybridMultilevel"/>
    <w:tmpl w:val="515A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C0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4C30"/>
    <w:multiLevelType w:val="hybridMultilevel"/>
    <w:tmpl w:val="14008E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571A9F"/>
    <w:multiLevelType w:val="hybridMultilevel"/>
    <w:tmpl w:val="01B0126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DA4"/>
    <w:multiLevelType w:val="hybridMultilevel"/>
    <w:tmpl w:val="8496FF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200FB4"/>
    <w:multiLevelType w:val="hybridMultilevel"/>
    <w:tmpl w:val="3518477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B90F07"/>
    <w:multiLevelType w:val="hybridMultilevel"/>
    <w:tmpl w:val="8878E8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54CE"/>
    <w:multiLevelType w:val="hybridMultilevel"/>
    <w:tmpl w:val="4782C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7375D"/>
    <w:multiLevelType w:val="hybridMultilevel"/>
    <w:tmpl w:val="3CC0FAB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F4C76"/>
    <w:multiLevelType w:val="hybridMultilevel"/>
    <w:tmpl w:val="336AD4DA"/>
    <w:lvl w:ilvl="0" w:tplc="880821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1AC4"/>
    <w:multiLevelType w:val="hybridMultilevel"/>
    <w:tmpl w:val="2E46B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A1593F"/>
    <w:multiLevelType w:val="hybridMultilevel"/>
    <w:tmpl w:val="1132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E3938"/>
    <w:multiLevelType w:val="hybridMultilevel"/>
    <w:tmpl w:val="CDDAAB76"/>
    <w:lvl w:ilvl="0" w:tplc="041A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2" w15:restartNumberingAfterBreak="0">
    <w:nsid w:val="50836AE6"/>
    <w:multiLevelType w:val="hybridMultilevel"/>
    <w:tmpl w:val="793A1F8A"/>
    <w:lvl w:ilvl="0" w:tplc="DC2C0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579F5"/>
    <w:multiLevelType w:val="hybridMultilevel"/>
    <w:tmpl w:val="F268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7F72"/>
    <w:multiLevelType w:val="hybridMultilevel"/>
    <w:tmpl w:val="D2E08052"/>
    <w:lvl w:ilvl="0" w:tplc="041A0009">
      <w:start w:val="1"/>
      <w:numFmt w:val="bullet"/>
      <w:lvlText w:val=""/>
      <w:lvlJc w:val="left"/>
      <w:pPr>
        <w:ind w:left="74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5" w15:restartNumberingAfterBreak="0">
    <w:nsid w:val="5AD26124"/>
    <w:multiLevelType w:val="hybridMultilevel"/>
    <w:tmpl w:val="8D9882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26501"/>
    <w:multiLevelType w:val="hybridMultilevel"/>
    <w:tmpl w:val="3DAC462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C2C0DE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8F7390"/>
    <w:multiLevelType w:val="hybridMultilevel"/>
    <w:tmpl w:val="622EF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F116F"/>
    <w:multiLevelType w:val="hybridMultilevel"/>
    <w:tmpl w:val="8DBC03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76DBB"/>
    <w:multiLevelType w:val="hybridMultilevel"/>
    <w:tmpl w:val="BC80F0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64C"/>
    <w:multiLevelType w:val="hybridMultilevel"/>
    <w:tmpl w:val="2B8E571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6580603"/>
    <w:multiLevelType w:val="hybridMultilevel"/>
    <w:tmpl w:val="A9D0FF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063C2"/>
    <w:multiLevelType w:val="hybridMultilevel"/>
    <w:tmpl w:val="A16C5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7F6FB5"/>
    <w:multiLevelType w:val="hybridMultilevel"/>
    <w:tmpl w:val="A3AEF55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66493"/>
    <w:multiLevelType w:val="hybridMultilevel"/>
    <w:tmpl w:val="44FC0148"/>
    <w:lvl w:ilvl="0" w:tplc="DC2C0D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C2C0DE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1260072"/>
    <w:multiLevelType w:val="hybridMultilevel"/>
    <w:tmpl w:val="75164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A30FF"/>
    <w:multiLevelType w:val="hybridMultilevel"/>
    <w:tmpl w:val="BF04ABCE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216854"/>
    <w:multiLevelType w:val="hybridMultilevel"/>
    <w:tmpl w:val="441E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38E0"/>
    <w:multiLevelType w:val="hybridMultilevel"/>
    <w:tmpl w:val="60B6B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D122FF"/>
    <w:multiLevelType w:val="hybridMultilevel"/>
    <w:tmpl w:val="AE104F10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33"/>
  </w:num>
  <w:num w:numId="4">
    <w:abstractNumId w:val="15"/>
  </w:num>
  <w:num w:numId="5">
    <w:abstractNumId w:val="7"/>
  </w:num>
  <w:num w:numId="6">
    <w:abstractNumId w:val="17"/>
  </w:num>
  <w:num w:numId="7">
    <w:abstractNumId w:val="29"/>
  </w:num>
  <w:num w:numId="8">
    <w:abstractNumId w:val="24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"/>
  </w:num>
  <w:num w:numId="14">
    <w:abstractNumId w:val="5"/>
  </w:num>
  <w:num w:numId="15">
    <w:abstractNumId w:val="2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9"/>
  </w:num>
  <w:num w:numId="20">
    <w:abstractNumId w:val="32"/>
  </w:num>
  <w:num w:numId="21">
    <w:abstractNumId w:val="8"/>
  </w:num>
  <w:num w:numId="22">
    <w:abstractNumId w:val="27"/>
  </w:num>
  <w:num w:numId="23">
    <w:abstractNumId w:val="6"/>
  </w:num>
  <w:num w:numId="24">
    <w:abstractNumId w:val="30"/>
  </w:num>
  <w:num w:numId="25">
    <w:abstractNumId w:val="2"/>
  </w:num>
  <w:num w:numId="26">
    <w:abstractNumId w:val="23"/>
  </w:num>
  <w:num w:numId="27">
    <w:abstractNumId w:val="12"/>
  </w:num>
  <w:num w:numId="28">
    <w:abstractNumId w:val="37"/>
  </w:num>
  <w:num w:numId="29">
    <w:abstractNumId w:val="19"/>
  </w:num>
  <w:num w:numId="30">
    <w:abstractNumId w:val="38"/>
  </w:num>
  <w:num w:numId="31">
    <w:abstractNumId w:val="16"/>
  </w:num>
  <w:num w:numId="32">
    <w:abstractNumId w:val="11"/>
  </w:num>
  <w:num w:numId="33">
    <w:abstractNumId w:val="3"/>
  </w:num>
  <w:num w:numId="34">
    <w:abstractNumId w:val="20"/>
  </w:num>
  <w:num w:numId="35">
    <w:abstractNumId w:val="10"/>
  </w:num>
  <w:num w:numId="36">
    <w:abstractNumId w:val="9"/>
  </w:num>
  <w:num w:numId="37">
    <w:abstractNumId w:val="36"/>
  </w:num>
  <w:num w:numId="38">
    <w:abstractNumId w:val="26"/>
  </w:num>
  <w:num w:numId="39">
    <w:abstractNumId w:val="34"/>
  </w:num>
  <w:num w:numId="40">
    <w:abstractNumId w:val="35"/>
  </w:num>
  <w:num w:numId="41">
    <w:abstractNumId w:val="30"/>
  </w:num>
  <w:num w:numId="4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63"/>
    <w:rsid w:val="00000A20"/>
    <w:rsid w:val="0002502F"/>
    <w:rsid w:val="00030C4D"/>
    <w:rsid w:val="00057DB6"/>
    <w:rsid w:val="00062364"/>
    <w:rsid w:val="000636EC"/>
    <w:rsid w:val="00065E7E"/>
    <w:rsid w:val="00084A99"/>
    <w:rsid w:val="00091D02"/>
    <w:rsid w:val="000932DD"/>
    <w:rsid w:val="000A179E"/>
    <w:rsid w:val="000B0591"/>
    <w:rsid w:val="000B312D"/>
    <w:rsid w:val="000C1183"/>
    <w:rsid w:val="000E3294"/>
    <w:rsid w:val="000E7B93"/>
    <w:rsid w:val="000F1B7F"/>
    <w:rsid w:val="001057B7"/>
    <w:rsid w:val="00114050"/>
    <w:rsid w:val="001648D8"/>
    <w:rsid w:val="00166CF5"/>
    <w:rsid w:val="001679C8"/>
    <w:rsid w:val="00195679"/>
    <w:rsid w:val="001A02EA"/>
    <w:rsid w:val="001C0A44"/>
    <w:rsid w:val="001E7E2B"/>
    <w:rsid w:val="001F370C"/>
    <w:rsid w:val="001F3BED"/>
    <w:rsid w:val="00212D22"/>
    <w:rsid w:val="00216ADD"/>
    <w:rsid w:val="00217B5C"/>
    <w:rsid w:val="00224DD2"/>
    <w:rsid w:val="00230F85"/>
    <w:rsid w:val="00231626"/>
    <w:rsid w:val="002334DE"/>
    <w:rsid w:val="002401DC"/>
    <w:rsid w:val="002606F3"/>
    <w:rsid w:val="00264086"/>
    <w:rsid w:val="00272D38"/>
    <w:rsid w:val="0028176C"/>
    <w:rsid w:val="002866B2"/>
    <w:rsid w:val="002A1399"/>
    <w:rsid w:val="002B4EE5"/>
    <w:rsid w:val="002D781D"/>
    <w:rsid w:val="002E0428"/>
    <w:rsid w:val="002E47D0"/>
    <w:rsid w:val="0031515B"/>
    <w:rsid w:val="00322197"/>
    <w:rsid w:val="003226E2"/>
    <w:rsid w:val="00335B14"/>
    <w:rsid w:val="00343D96"/>
    <w:rsid w:val="00365E77"/>
    <w:rsid w:val="00375589"/>
    <w:rsid w:val="00384469"/>
    <w:rsid w:val="00384C50"/>
    <w:rsid w:val="003A5D6E"/>
    <w:rsid w:val="003C60D5"/>
    <w:rsid w:val="003C6847"/>
    <w:rsid w:val="003C7910"/>
    <w:rsid w:val="003E1795"/>
    <w:rsid w:val="0040417C"/>
    <w:rsid w:val="0041331B"/>
    <w:rsid w:val="00427DC7"/>
    <w:rsid w:val="00436421"/>
    <w:rsid w:val="00437F9C"/>
    <w:rsid w:val="00460527"/>
    <w:rsid w:val="00460F68"/>
    <w:rsid w:val="00470928"/>
    <w:rsid w:val="00481ABB"/>
    <w:rsid w:val="004B0F08"/>
    <w:rsid w:val="004C0624"/>
    <w:rsid w:val="004C1273"/>
    <w:rsid w:val="004D0629"/>
    <w:rsid w:val="004D61D9"/>
    <w:rsid w:val="004E0B0D"/>
    <w:rsid w:val="004F2921"/>
    <w:rsid w:val="00520EA0"/>
    <w:rsid w:val="005277C6"/>
    <w:rsid w:val="00531580"/>
    <w:rsid w:val="00561F76"/>
    <w:rsid w:val="0056215B"/>
    <w:rsid w:val="00566C1B"/>
    <w:rsid w:val="0057201F"/>
    <w:rsid w:val="00583F4C"/>
    <w:rsid w:val="00587872"/>
    <w:rsid w:val="005A1C81"/>
    <w:rsid w:val="005A4C4D"/>
    <w:rsid w:val="005B63D6"/>
    <w:rsid w:val="005D09AE"/>
    <w:rsid w:val="005E014B"/>
    <w:rsid w:val="005E1EBD"/>
    <w:rsid w:val="005E4FF5"/>
    <w:rsid w:val="005F1AF3"/>
    <w:rsid w:val="005F44F2"/>
    <w:rsid w:val="00601100"/>
    <w:rsid w:val="006037ED"/>
    <w:rsid w:val="00604021"/>
    <w:rsid w:val="006203B6"/>
    <w:rsid w:val="00630793"/>
    <w:rsid w:val="00632732"/>
    <w:rsid w:val="00651C8F"/>
    <w:rsid w:val="006612A5"/>
    <w:rsid w:val="00685EFA"/>
    <w:rsid w:val="006A6D92"/>
    <w:rsid w:val="006B1179"/>
    <w:rsid w:val="006B2C01"/>
    <w:rsid w:val="006B4D62"/>
    <w:rsid w:val="006D0EB1"/>
    <w:rsid w:val="006F5763"/>
    <w:rsid w:val="00700EFB"/>
    <w:rsid w:val="00702161"/>
    <w:rsid w:val="00711410"/>
    <w:rsid w:val="00715487"/>
    <w:rsid w:val="0072046B"/>
    <w:rsid w:val="00727475"/>
    <w:rsid w:val="00742A17"/>
    <w:rsid w:val="00746909"/>
    <w:rsid w:val="00753088"/>
    <w:rsid w:val="007824DE"/>
    <w:rsid w:val="00797DE5"/>
    <w:rsid w:val="007A04C7"/>
    <w:rsid w:val="007A5434"/>
    <w:rsid w:val="007A66B6"/>
    <w:rsid w:val="007C16E3"/>
    <w:rsid w:val="007C2450"/>
    <w:rsid w:val="007C69AC"/>
    <w:rsid w:val="007D7661"/>
    <w:rsid w:val="007E6924"/>
    <w:rsid w:val="008154B4"/>
    <w:rsid w:val="0081607A"/>
    <w:rsid w:val="00821C57"/>
    <w:rsid w:val="008556D0"/>
    <w:rsid w:val="00867791"/>
    <w:rsid w:val="00874DEC"/>
    <w:rsid w:val="00876D68"/>
    <w:rsid w:val="008811DE"/>
    <w:rsid w:val="00881CDB"/>
    <w:rsid w:val="00883E4F"/>
    <w:rsid w:val="00887580"/>
    <w:rsid w:val="00891C27"/>
    <w:rsid w:val="008E619D"/>
    <w:rsid w:val="008F0DFD"/>
    <w:rsid w:val="00910AB4"/>
    <w:rsid w:val="009218FB"/>
    <w:rsid w:val="00923FA0"/>
    <w:rsid w:val="00940BCD"/>
    <w:rsid w:val="00955943"/>
    <w:rsid w:val="0096248A"/>
    <w:rsid w:val="00970801"/>
    <w:rsid w:val="00974929"/>
    <w:rsid w:val="009815DE"/>
    <w:rsid w:val="00981A0F"/>
    <w:rsid w:val="009C205F"/>
    <w:rsid w:val="009C3B58"/>
    <w:rsid w:val="009C3BCB"/>
    <w:rsid w:val="009D0B2A"/>
    <w:rsid w:val="009D6BF9"/>
    <w:rsid w:val="009E730C"/>
    <w:rsid w:val="00A14FB6"/>
    <w:rsid w:val="00A20EB2"/>
    <w:rsid w:val="00A43EC1"/>
    <w:rsid w:val="00A71AFC"/>
    <w:rsid w:val="00A7355C"/>
    <w:rsid w:val="00A9572F"/>
    <w:rsid w:val="00AA346D"/>
    <w:rsid w:val="00AB2D72"/>
    <w:rsid w:val="00AC388E"/>
    <w:rsid w:val="00AD1C68"/>
    <w:rsid w:val="00AD2EB1"/>
    <w:rsid w:val="00AE51A0"/>
    <w:rsid w:val="00B21B7E"/>
    <w:rsid w:val="00B251CD"/>
    <w:rsid w:val="00B258CC"/>
    <w:rsid w:val="00B51DC7"/>
    <w:rsid w:val="00B52BE1"/>
    <w:rsid w:val="00B7430A"/>
    <w:rsid w:val="00B830A2"/>
    <w:rsid w:val="00B94968"/>
    <w:rsid w:val="00BC55C5"/>
    <w:rsid w:val="00BD0B67"/>
    <w:rsid w:val="00BD25FA"/>
    <w:rsid w:val="00BE0F50"/>
    <w:rsid w:val="00BE7083"/>
    <w:rsid w:val="00C071B6"/>
    <w:rsid w:val="00C13044"/>
    <w:rsid w:val="00C169E7"/>
    <w:rsid w:val="00C255C3"/>
    <w:rsid w:val="00C36C61"/>
    <w:rsid w:val="00C84D2E"/>
    <w:rsid w:val="00C86A29"/>
    <w:rsid w:val="00C94B9C"/>
    <w:rsid w:val="00CA109F"/>
    <w:rsid w:val="00CA1937"/>
    <w:rsid w:val="00CB043F"/>
    <w:rsid w:val="00CB4CB0"/>
    <w:rsid w:val="00CC7AD9"/>
    <w:rsid w:val="00D13667"/>
    <w:rsid w:val="00D13997"/>
    <w:rsid w:val="00D15208"/>
    <w:rsid w:val="00D33AFC"/>
    <w:rsid w:val="00D40053"/>
    <w:rsid w:val="00D452EB"/>
    <w:rsid w:val="00D60D9C"/>
    <w:rsid w:val="00D772FA"/>
    <w:rsid w:val="00D84C65"/>
    <w:rsid w:val="00D91ED5"/>
    <w:rsid w:val="00D93575"/>
    <w:rsid w:val="00D97392"/>
    <w:rsid w:val="00DA3222"/>
    <w:rsid w:val="00DB3CA3"/>
    <w:rsid w:val="00DC05E2"/>
    <w:rsid w:val="00DD018E"/>
    <w:rsid w:val="00DD14D2"/>
    <w:rsid w:val="00DD3183"/>
    <w:rsid w:val="00DE109E"/>
    <w:rsid w:val="00DE337F"/>
    <w:rsid w:val="00E02748"/>
    <w:rsid w:val="00E11C05"/>
    <w:rsid w:val="00E13B44"/>
    <w:rsid w:val="00E16088"/>
    <w:rsid w:val="00E53F57"/>
    <w:rsid w:val="00E54A36"/>
    <w:rsid w:val="00E57391"/>
    <w:rsid w:val="00E60BEF"/>
    <w:rsid w:val="00E872E5"/>
    <w:rsid w:val="00EA0D02"/>
    <w:rsid w:val="00EA348F"/>
    <w:rsid w:val="00EA74F0"/>
    <w:rsid w:val="00EB02A2"/>
    <w:rsid w:val="00EB0823"/>
    <w:rsid w:val="00EC02E9"/>
    <w:rsid w:val="00EC503A"/>
    <w:rsid w:val="00ED43B1"/>
    <w:rsid w:val="00ED6F26"/>
    <w:rsid w:val="00EF7158"/>
    <w:rsid w:val="00F1441D"/>
    <w:rsid w:val="00F33EBD"/>
    <w:rsid w:val="00F40D75"/>
    <w:rsid w:val="00F4117F"/>
    <w:rsid w:val="00F45B92"/>
    <w:rsid w:val="00F5390A"/>
    <w:rsid w:val="00F63D83"/>
    <w:rsid w:val="00F7064A"/>
    <w:rsid w:val="00F7350F"/>
    <w:rsid w:val="00F85B04"/>
    <w:rsid w:val="00FA0555"/>
    <w:rsid w:val="00FA434D"/>
    <w:rsid w:val="00FB4A38"/>
    <w:rsid w:val="00FB5BDC"/>
    <w:rsid w:val="00FD40E7"/>
    <w:rsid w:val="00FD4402"/>
    <w:rsid w:val="00FD4678"/>
    <w:rsid w:val="00FD72B7"/>
    <w:rsid w:val="00FE4B99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CCB"/>
  <w15:docId w15:val="{51BC410E-E3F1-4356-B353-F3130AB4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7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E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D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2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811DE"/>
    <w:rPr>
      <w:rFonts w:ascii="Arial" w:hAnsi="Arial" w:cstheme="minorBidi"/>
      <w:sz w:val="20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8811DE"/>
    <w:rPr>
      <w:rFonts w:ascii="Arial" w:hAnsi="Arial"/>
      <w:sz w:val="20"/>
      <w:szCs w:val="21"/>
      <w:lang w:eastAsia="hr-HR"/>
    </w:rPr>
  </w:style>
  <w:style w:type="character" w:styleId="Hyperlink">
    <w:name w:val="Hyperlink"/>
    <w:basedOn w:val="DefaultParagraphFont"/>
    <w:uiPriority w:val="99"/>
    <w:unhideWhenUsed/>
    <w:rsid w:val="00CB04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7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6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17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76C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4021"/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021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4021"/>
    <w:rPr>
      <w:rFonts w:cs="Times New Roman"/>
      <w:vertAlign w:val="superscript"/>
    </w:rPr>
  </w:style>
  <w:style w:type="character" w:styleId="BookTitle">
    <w:name w:val="Book Title"/>
    <w:basedOn w:val="DefaultParagraphFont"/>
    <w:uiPriority w:val="33"/>
    <w:qFormat/>
    <w:rsid w:val="00B7430A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B743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B7430A"/>
  </w:style>
  <w:style w:type="character" w:customStyle="1" w:styleId="eop">
    <w:name w:val="eop"/>
    <w:basedOn w:val="DefaultParagraphFont"/>
    <w:rsid w:val="00B7430A"/>
  </w:style>
  <w:style w:type="character" w:customStyle="1" w:styleId="Heading2Char">
    <w:name w:val="Heading 2 Char"/>
    <w:basedOn w:val="DefaultParagraphFont"/>
    <w:link w:val="Heading2"/>
    <w:uiPriority w:val="9"/>
    <w:rsid w:val="00EA0D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E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6Colorful-Accent11">
    <w:name w:val="Grid Table 6 Colorful - Accent 11"/>
    <w:basedOn w:val="TableNormal"/>
    <w:next w:val="ivopisnatablicareetke6-isticanje11"/>
    <w:uiPriority w:val="51"/>
    <w:rsid w:val="0031515B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ivopisnatablicareetke6-isticanje11">
    <w:name w:val="Živopisna tablica rešetke 6 - isticanje 11"/>
    <w:basedOn w:val="TableNormal"/>
    <w:uiPriority w:val="51"/>
    <w:rsid w:val="003151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AFA44705EAB4FAA71B725E74AFB62" ma:contentTypeVersion="10" ma:contentTypeDescription="Create a new document." ma:contentTypeScope="" ma:versionID="25549587de4966cc0b5d6fb047d01826">
  <xsd:schema xmlns:xsd="http://www.w3.org/2001/XMLSchema" xmlns:xs="http://www.w3.org/2001/XMLSchema" xmlns:p="http://schemas.microsoft.com/office/2006/metadata/properties" xmlns:ns3="d187a626-588d-4280-bf37-9bbfe9dd7c77" targetNamespace="http://schemas.microsoft.com/office/2006/metadata/properties" ma:root="true" ma:fieldsID="8b96c8195b0b7d4f6ce6d0a27d7db539" ns3:_="">
    <xsd:import namespace="d187a626-588d-4280-bf37-9bbfe9dd7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a626-588d-4280-bf37-9bbfe9dd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71AF-FB66-4E18-9147-81CC745D0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7a626-588d-4280-bf37-9bbfe9dd7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A383D-4E0D-479D-B134-93E4CBC28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10E5B-A44C-4F1B-9FD2-57479BFCF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A8B11-D9C9-4399-91B2-4B1448A2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Frankić</dc:creator>
  <cp:lastModifiedBy>Marija Knežević- Kajari</cp:lastModifiedBy>
  <cp:revision>2</cp:revision>
  <cp:lastPrinted>2020-06-25T06:29:00Z</cp:lastPrinted>
  <dcterms:created xsi:type="dcterms:W3CDTF">2020-06-25T07:04:00Z</dcterms:created>
  <dcterms:modified xsi:type="dcterms:W3CDTF">2020-06-25T07:04:00Z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0x0101003D3AFA44705EAB4FAA71B725E74AFB62</vt:lpwstr>
  </property>
</Properties>
</file>